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и декларации в экономическом субъекте (практикум)</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«Налоговые расчеты и декларации в экономическом субъекте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trPr>
          <w:trHeight w:hRule="exact" w:val="511.99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961.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налогового декларирования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понятие, единые требования к формированию налоговых 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представления налоговых деклараций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акцизов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акцизам: содержание, требования к заполнению, сроки представления в налоговые органы. 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НДС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НДС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налога на прибыль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налогу на прибыль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федеральных налогов и сборов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по налогам и сборам, связанным с природопользованием. Изменения в действующих положениях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Порядок исчисления сборов за пользование объектами животного мира и водных биологических ресурсов, водного налога.Налоговая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региональных и местных налогов и сборов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имущество организаций. Изменения налогового законодательства по транспортному налогу.</w:t>
            </w:r>
          </w:p>
          <w:p>
            <w:pPr>
              <w:jc w:val="both"/>
              <w:spacing w:after="0" w:line="240" w:lineRule="auto"/>
              <w:rPr>
                <w:sz w:val="24"/>
                <w:szCs w:val="24"/>
              </w:rPr>
            </w:pPr>
            <w:r>
              <w:rPr>
                <w:rFonts w:ascii="Times New Roman" w:hAnsi="Times New Roman" w:cs="Times New Roman"/>
                <w:color w:val="#000000"/>
                <w:sz w:val="24"/>
                <w:szCs w:val="24"/>
              </w:rPr>
              <w:t> 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региональным и местным налогам и сборам</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pPr>
              <w:jc w:val="both"/>
              <w:spacing w:after="0" w:line="240" w:lineRule="auto"/>
              <w:rPr>
                <w:sz w:val="24"/>
                <w:szCs w:val="24"/>
              </w:rPr>
            </w:pPr>
            <w:r>
              <w:rPr>
                <w:rFonts w:ascii="Times New Roman" w:hAnsi="Times New Roman" w:cs="Times New Roman"/>
                <w:color w:val="#000000"/>
                <w:sz w:val="24"/>
                <w:szCs w:val="24"/>
              </w:rPr>
              <w:t> 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pPr>
              <w:jc w:val="both"/>
              <w:spacing w:after="0" w:line="240" w:lineRule="auto"/>
              <w:rPr>
                <w:sz w:val="24"/>
                <w:szCs w:val="24"/>
              </w:rPr>
            </w:pPr>
            <w:r>
              <w:rPr>
                <w:rFonts w:ascii="Times New Roman" w:hAnsi="Times New Roman" w:cs="Times New Roman"/>
                <w:color w:val="#000000"/>
                <w:sz w:val="24"/>
                <w:szCs w:val="24"/>
              </w:rPr>
              <w:t> Особенности содержания и порядка составления налоговой декларации по земельному налогу.</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https://urait.ru/bcode/469241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7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3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2024-2025_ФГОС3++2024_Бак-ЗФО-Э(УАиА)(24)_plx_Налоговые расчеты и декларации в экономическом субъекте (практикум)</dc:title>
  <dc:creator>FastReport.NET</dc:creator>
</cp:coreProperties>
</file>